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0D8" w:rsidRPr="0077282B" w:rsidRDefault="00AA70D8" w:rsidP="00AA70D8">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3GPP TSG-RAN WG2 Meeting #106</w:t>
      </w:r>
      <w:r w:rsidRPr="0077282B">
        <w:rPr>
          <w:rFonts w:ascii="Arial" w:eastAsia="바탕" w:hAnsi="Arial" w:cs="Arial"/>
          <w:b/>
          <w:kern w:val="0"/>
          <w:sz w:val="24"/>
          <w:szCs w:val="20"/>
          <w:lang w:eastAsia="en-US"/>
        </w:rPr>
        <w:tab/>
      </w:r>
      <w:r w:rsidRPr="0077282B">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865A8B" w:rsidRPr="00865A8B">
        <w:rPr>
          <w:rFonts w:ascii="Arial" w:eastAsia="바탕" w:hAnsi="Arial" w:cs="Arial"/>
          <w:b/>
          <w:kern w:val="0"/>
          <w:sz w:val="24"/>
          <w:szCs w:val="20"/>
          <w:lang w:eastAsia="en-US"/>
        </w:rPr>
        <w:t>R2-1908024</w:t>
      </w:r>
      <w:bookmarkStart w:id="0" w:name="_GoBack"/>
      <w:bookmarkEnd w:id="0"/>
    </w:p>
    <w:p w:rsidR="00AA70D8" w:rsidRPr="0077282B" w:rsidRDefault="00AA70D8" w:rsidP="00AA70D8">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77282B">
        <w:rPr>
          <w:rFonts w:ascii="Arial" w:eastAsia="바탕" w:hAnsi="Arial" w:cs="Arial"/>
          <w:b/>
          <w:kern w:val="0"/>
          <w:sz w:val="24"/>
          <w:szCs w:val="20"/>
          <w:lang w:eastAsia="en-US"/>
        </w:rPr>
        <w:t>Reno, USA,13th - 17th May 2019</w:t>
      </w:r>
      <w:r>
        <w:rPr>
          <w:rFonts w:ascii="Arial" w:eastAsia="바탕" w:hAnsi="Arial" w:cs="Arial"/>
          <w:b/>
          <w:kern w:val="0"/>
          <w:sz w:val="24"/>
          <w:szCs w:val="20"/>
          <w:lang w:eastAsia="en-US"/>
        </w:rPr>
        <w:tab/>
      </w:r>
      <w:r>
        <w:rPr>
          <w:rFonts w:ascii="Arial" w:eastAsia="바탕" w:hAnsi="Arial" w:cs="Arial"/>
          <w:b/>
          <w:kern w:val="0"/>
          <w:sz w:val="24"/>
          <w:szCs w:val="20"/>
          <w:lang w:eastAsia="en-US"/>
        </w:rPr>
        <w:tab/>
        <w:t>(revision of R2-1905151)</w:t>
      </w:r>
    </w:p>
    <w:p w:rsidR="00A801BF" w:rsidRPr="00A801BF" w:rsidRDefault="00A801BF" w:rsidP="00A801BF">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A801BF" w:rsidRDefault="00A801BF" w:rsidP="00A801BF">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75F21" w:rsidRPr="00B75F21">
        <w:rPr>
          <w:rFonts w:ascii="Arial" w:eastAsia="MS Mincho" w:hAnsi="Arial" w:cs="Arial"/>
          <w:b/>
          <w:bCs/>
          <w:kern w:val="0"/>
          <w:sz w:val="24"/>
          <w:szCs w:val="20"/>
          <w:lang w:eastAsia="en-US"/>
        </w:rPr>
        <w:t>11.1.2</w:t>
      </w:r>
    </w:p>
    <w:p w:rsidR="00A801BF" w:rsidRPr="00A801BF" w:rsidRDefault="00A801BF" w:rsidP="00A801BF">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A801BF" w:rsidRPr="00A801BF" w:rsidRDefault="00A801BF" w:rsidP="00A801BF">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I</w:t>
      </w:r>
      <w:r w:rsidRPr="00A801BF">
        <w:rPr>
          <w:rFonts w:ascii="Arial" w:eastAsia="바탕" w:hAnsi="Arial" w:cs="Arial"/>
          <w:b/>
          <w:bCs/>
          <w:kern w:val="0"/>
          <w:sz w:val="24"/>
          <w:szCs w:val="20"/>
          <w:lang w:eastAsia="en-US"/>
        </w:rPr>
        <w:t xml:space="preserve">ntroduction of </w:t>
      </w:r>
      <w:r w:rsidR="00180FBC">
        <w:rPr>
          <w:rFonts w:ascii="Arial" w:eastAsia="바탕" w:hAnsi="Arial" w:cs="Arial" w:hint="eastAsia"/>
          <w:b/>
          <w:bCs/>
          <w:kern w:val="0"/>
          <w:sz w:val="24"/>
          <w:szCs w:val="20"/>
        </w:rPr>
        <w:t xml:space="preserve">dual connection </w:t>
      </w:r>
      <w:r w:rsidRPr="00A801BF">
        <w:rPr>
          <w:rFonts w:ascii="Arial" w:eastAsia="바탕" w:hAnsi="Arial" w:cs="Arial"/>
          <w:b/>
          <w:bCs/>
          <w:kern w:val="0"/>
          <w:sz w:val="24"/>
          <w:szCs w:val="20"/>
          <w:lang w:eastAsia="en-US"/>
        </w:rPr>
        <w:t xml:space="preserve">in IAB for </w:t>
      </w:r>
      <w:r w:rsidR="00B777BB">
        <w:rPr>
          <w:rFonts w:ascii="Arial" w:eastAsia="바탕" w:hAnsi="Arial" w:cs="Arial"/>
          <w:b/>
          <w:bCs/>
          <w:kern w:val="0"/>
          <w:sz w:val="24"/>
          <w:szCs w:val="20"/>
          <w:lang w:eastAsia="en-US"/>
        </w:rPr>
        <w:t xml:space="preserve">backhaul link </w:t>
      </w:r>
      <w:r w:rsidR="0038615A">
        <w:rPr>
          <w:rFonts w:ascii="Arial" w:eastAsia="바탕" w:hAnsi="Arial" w:cs="Arial"/>
          <w:b/>
          <w:bCs/>
          <w:kern w:val="0"/>
          <w:sz w:val="24"/>
          <w:szCs w:val="20"/>
          <w:lang w:eastAsia="en-US"/>
        </w:rPr>
        <w:t>fail</w:t>
      </w:r>
      <w:r w:rsidR="00B2509C">
        <w:rPr>
          <w:rFonts w:ascii="Arial" w:eastAsia="바탕" w:hAnsi="Arial" w:cs="Arial"/>
          <w:b/>
          <w:bCs/>
          <w:kern w:val="0"/>
          <w:sz w:val="24"/>
          <w:szCs w:val="20"/>
          <w:lang w:eastAsia="en-US"/>
        </w:rPr>
        <w:t>u</w:t>
      </w:r>
      <w:r w:rsidR="0038615A">
        <w:rPr>
          <w:rFonts w:ascii="Arial" w:eastAsia="바탕" w:hAnsi="Arial" w:cs="Arial"/>
          <w:b/>
          <w:bCs/>
          <w:kern w:val="0"/>
          <w:sz w:val="24"/>
          <w:szCs w:val="20"/>
          <w:lang w:eastAsia="en-US"/>
        </w:rPr>
        <w:t xml:space="preserve">re handling </w:t>
      </w:r>
    </w:p>
    <w:p w:rsidR="00A801BF" w:rsidRPr="00A801BF" w:rsidRDefault="00A801BF" w:rsidP="00A801BF">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033F41" w:rsidRPr="00A801BF" w:rsidRDefault="00A801BF" w:rsidP="00A801BF">
      <w:pPr>
        <w:pStyle w:val="1"/>
      </w:pPr>
      <w:r w:rsidRPr="00A801BF">
        <w:rPr>
          <w:rFonts w:hint="eastAsia"/>
        </w:rPr>
        <w:t xml:space="preserve">1 </w:t>
      </w:r>
      <w:r>
        <w:t>I</w:t>
      </w:r>
      <w:r w:rsidRPr="00A801BF">
        <w:rPr>
          <w:rFonts w:hint="eastAsia"/>
        </w:rPr>
        <w:t>ntroduction</w:t>
      </w:r>
    </w:p>
    <w:p w:rsidR="00A801BF" w:rsidRDefault="00A801BF">
      <w:pPr>
        <w:rPr>
          <w:rFonts w:eastAsiaTheme="minorEastAsia"/>
        </w:rPr>
      </w:pPr>
      <w:r>
        <w:rPr>
          <w:rFonts w:eastAsiaTheme="minorEastAsia" w:hint="eastAsia"/>
        </w:rPr>
        <w:t>In last RAN2#105 meeting, we agreed the following:</w:t>
      </w:r>
    </w:p>
    <w:p w:rsidR="00A801BF" w:rsidRDefault="00A801BF" w:rsidP="00A801BF">
      <w:pPr>
        <w:pStyle w:val="Agreement"/>
      </w:pPr>
      <w:r>
        <w:t xml:space="preserve">Alternate Routes and/or Dual Connectivity (if agreed) could be utilised at recovery at a failure of a BH link. </w:t>
      </w:r>
    </w:p>
    <w:p w:rsidR="00A801BF" w:rsidRPr="00A801BF" w:rsidRDefault="00A801BF">
      <w:pPr>
        <w:rPr>
          <w:rFonts w:ascii="Symbol" w:eastAsia="맑은 고딕" w:hAnsi="Symbol"/>
          <w:sz w:val="22"/>
          <w:lang w:val="en-GB"/>
        </w:rPr>
      </w:pPr>
    </w:p>
    <w:p w:rsidR="00A801BF" w:rsidRDefault="00A801BF">
      <w:pPr>
        <w:rPr>
          <w:rFonts w:eastAsiaTheme="minorEastAsia"/>
        </w:rPr>
      </w:pPr>
      <w:r>
        <w:rPr>
          <w:rFonts w:eastAsiaTheme="minorEastAsia" w:hint="eastAsia"/>
        </w:rPr>
        <w:t>For route redundancy, two direction</w:t>
      </w:r>
      <w:r>
        <w:rPr>
          <w:rFonts w:eastAsiaTheme="minorEastAsia"/>
        </w:rPr>
        <w:t>s</w:t>
      </w:r>
      <w:r>
        <w:rPr>
          <w:rFonts w:eastAsiaTheme="minorEastAsia" w:hint="eastAsia"/>
        </w:rPr>
        <w:t xml:space="preserve"> i.e.,</w:t>
      </w:r>
      <w:r>
        <w:rPr>
          <w:rFonts w:eastAsiaTheme="minorEastAsia"/>
        </w:rPr>
        <w:t xml:space="preserve"> alternate routes or dual connectivity or its combination could be used for the failure recovery at BH link. In this paper, we discuss on this issue.</w:t>
      </w:r>
    </w:p>
    <w:p w:rsidR="00A801BF" w:rsidRPr="00E57CEE" w:rsidRDefault="00E57CEE" w:rsidP="00E57CEE">
      <w:pPr>
        <w:pStyle w:val="1"/>
      </w:pPr>
      <w:r w:rsidRPr="00E57CEE">
        <w:rPr>
          <w:rFonts w:hint="eastAsia"/>
        </w:rPr>
        <w:t xml:space="preserve">2. </w:t>
      </w:r>
      <w:r w:rsidR="000B0ABD">
        <w:t>N</w:t>
      </w:r>
      <w:r w:rsidRPr="00E57CEE">
        <w:t>ecessity of route redundancy</w:t>
      </w:r>
    </w:p>
    <w:p w:rsidR="00E57CEE" w:rsidRDefault="00E57CEE" w:rsidP="00E57CEE">
      <w:pPr>
        <w:rPr>
          <w:rFonts w:eastAsiaTheme="minorEastAsia"/>
          <w:lang w:val="en-GB"/>
        </w:rPr>
      </w:pPr>
      <w:r>
        <w:rPr>
          <w:rFonts w:eastAsiaTheme="minorEastAsia"/>
          <w:lang w:val="en-GB"/>
        </w:rPr>
        <w:t>H</w:t>
      </w:r>
      <w:r>
        <w:rPr>
          <w:rFonts w:eastAsiaTheme="minorEastAsia" w:hint="eastAsia"/>
          <w:lang w:val="en-GB"/>
        </w:rPr>
        <w:t>an</w:t>
      </w:r>
      <w:r>
        <w:rPr>
          <w:rFonts w:eastAsiaTheme="minorEastAsia"/>
          <w:lang w:val="en-GB"/>
        </w:rPr>
        <w:t>dling IAB node failure is important because the root of IAB system is the relay of the traffic. Single point of failure needs to be avoided, otherwise the descendant IAB nodes and its accessing UE could be widely interrupted. So there could be two ways of preventing this which could be in parallel. One is the design to be failure proof where failure itself seldom happens. The other one is that to be fast recovery from the failure once failure happens. Let’s restrict to the radio link failure (RLF)</w:t>
      </w:r>
      <w:r w:rsidR="00B777BB">
        <w:rPr>
          <w:rFonts w:eastAsiaTheme="minorEastAsia"/>
          <w:lang w:val="en-GB"/>
        </w:rPr>
        <w:t xml:space="preserve"> on BH link</w:t>
      </w:r>
      <w:r>
        <w:rPr>
          <w:rFonts w:eastAsiaTheme="minorEastAsia"/>
          <w:lang w:val="en-GB"/>
        </w:rPr>
        <w:t xml:space="preserve">. </w:t>
      </w:r>
    </w:p>
    <w:p w:rsidR="00386C79" w:rsidRDefault="00E57CEE" w:rsidP="00386C79">
      <w:pPr>
        <w:rPr>
          <w:rFonts w:eastAsiaTheme="minorEastAsia"/>
          <w:lang w:val="en-GB"/>
        </w:rPr>
      </w:pPr>
      <w:r>
        <w:rPr>
          <w:rFonts w:eastAsiaTheme="minorEastAsia" w:hint="eastAsia"/>
          <w:lang w:val="en-GB"/>
        </w:rPr>
        <w:t xml:space="preserve">During SI, this importance of failure is also recognized from the most of companies, so there </w:t>
      </w:r>
      <w:r>
        <w:rPr>
          <w:rFonts w:eastAsiaTheme="minorEastAsia"/>
          <w:lang w:val="en-GB"/>
        </w:rPr>
        <w:t>are</w:t>
      </w:r>
      <w:r>
        <w:rPr>
          <w:rFonts w:eastAsiaTheme="minorEastAsia" w:hint="eastAsia"/>
          <w:lang w:val="en-GB"/>
        </w:rPr>
        <w:t xml:space="preserve"> the ideas on multiple connected IAB node in the here and there of TR. </w:t>
      </w:r>
      <w:r w:rsidR="00A35EAE">
        <w:rPr>
          <w:rFonts w:eastAsiaTheme="minorEastAsia"/>
          <w:lang w:val="en-GB"/>
        </w:rPr>
        <w:t xml:space="preserve">This seems natural. </w:t>
      </w:r>
      <w:r w:rsidR="00386C79">
        <w:rPr>
          <w:rFonts w:eastAsiaTheme="minorEastAsia"/>
          <w:lang w:val="en-GB"/>
        </w:rPr>
        <w:t>Let’s restrict the number of connection for the data path to 2 as maximum, since there is no need of more connection practically.</w:t>
      </w:r>
    </w:p>
    <w:p w:rsidR="00386C79" w:rsidRPr="00F769ED" w:rsidRDefault="001C7352" w:rsidP="00E57CEE">
      <w:pPr>
        <w:rPr>
          <w:rFonts w:eastAsiaTheme="minorEastAsia"/>
          <w:b/>
          <w:lang w:val="en-GB"/>
        </w:rPr>
      </w:pPr>
      <w:r>
        <w:rPr>
          <w:rFonts w:eastAsiaTheme="minorEastAsia" w:hint="eastAsia"/>
          <w:b/>
          <w:lang w:val="en-GB"/>
        </w:rPr>
        <w:t>Proposal 1. RAN2 agrees</w:t>
      </w:r>
      <w:r w:rsidR="00386C79" w:rsidRPr="00F769ED">
        <w:rPr>
          <w:rFonts w:eastAsiaTheme="minorEastAsia" w:hint="eastAsia"/>
          <w:b/>
          <w:lang w:val="en-GB"/>
        </w:rPr>
        <w:t xml:space="preserve"> that an intermediate IAB node can have the </w:t>
      </w:r>
      <w:r w:rsidR="00386C79" w:rsidRPr="00F769ED">
        <w:rPr>
          <w:rFonts w:eastAsiaTheme="minorEastAsia"/>
          <w:b/>
          <w:lang w:val="en-GB"/>
        </w:rPr>
        <w:t xml:space="preserve">maximum two connections </w:t>
      </w:r>
      <w:r w:rsidR="00A65FA8" w:rsidRPr="00F769ED">
        <w:rPr>
          <w:rFonts w:eastAsiaTheme="minorEastAsia"/>
          <w:b/>
          <w:lang w:val="en-GB"/>
        </w:rPr>
        <w:t>with distinctive</w:t>
      </w:r>
      <w:r w:rsidR="00386C79" w:rsidRPr="00F769ED">
        <w:rPr>
          <w:rFonts w:eastAsiaTheme="minorEastAsia"/>
          <w:b/>
          <w:lang w:val="en-GB"/>
        </w:rPr>
        <w:t xml:space="preserve"> </w:t>
      </w:r>
      <w:r w:rsidR="00A65FA8">
        <w:rPr>
          <w:rFonts w:eastAsiaTheme="minorEastAsia"/>
          <w:b/>
          <w:lang w:val="en-GB"/>
        </w:rPr>
        <w:t xml:space="preserve">two nodes </w:t>
      </w:r>
      <w:r w:rsidR="00386C79" w:rsidRPr="00F769ED">
        <w:rPr>
          <w:rFonts w:eastAsiaTheme="minorEastAsia"/>
          <w:b/>
          <w:lang w:val="en-GB"/>
        </w:rPr>
        <w:t xml:space="preserve">for </w:t>
      </w:r>
      <w:r w:rsidR="00A65FA8">
        <w:rPr>
          <w:rFonts w:eastAsiaTheme="minorEastAsia"/>
          <w:b/>
          <w:lang w:val="en-GB"/>
        </w:rPr>
        <w:t>backhauling</w:t>
      </w:r>
      <w:r w:rsidR="00386C79" w:rsidRPr="00F769ED">
        <w:rPr>
          <w:rFonts w:eastAsiaTheme="minorEastAsia"/>
          <w:b/>
          <w:lang w:val="en-GB"/>
        </w:rPr>
        <w:t>.</w:t>
      </w:r>
    </w:p>
    <w:p w:rsidR="00386C79" w:rsidRDefault="00BD2476" w:rsidP="00E57CEE">
      <w:pPr>
        <w:rPr>
          <w:rFonts w:eastAsiaTheme="minorEastAsia"/>
          <w:lang w:val="en-GB"/>
        </w:rPr>
      </w:pPr>
      <w:r>
        <w:rPr>
          <w:rFonts w:eastAsiaTheme="minorEastAsia"/>
          <w:lang w:val="en-GB"/>
        </w:rPr>
        <w:t>P</w:t>
      </w:r>
      <w:r>
        <w:rPr>
          <w:rFonts w:eastAsiaTheme="minorEastAsia" w:hint="eastAsia"/>
          <w:lang w:val="en-GB"/>
        </w:rPr>
        <w:t xml:space="preserve">lease </w:t>
      </w:r>
      <w:r>
        <w:rPr>
          <w:rFonts w:eastAsiaTheme="minorEastAsia"/>
          <w:lang w:val="en-GB"/>
        </w:rPr>
        <w:t>note that here the node in “two nodes” means normal gNB or eNB which has its RRC stack in it not DU part i.e., other IAB intermediate parent node.</w:t>
      </w:r>
    </w:p>
    <w:p w:rsidR="00BD2476" w:rsidRDefault="00BD2476" w:rsidP="00E57CEE">
      <w:pPr>
        <w:rPr>
          <w:rFonts w:eastAsiaTheme="minorEastAsia"/>
          <w:lang w:val="en-GB"/>
        </w:rPr>
      </w:pPr>
    </w:p>
    <w:p w:rsidR="001C7352" w:rsidRDefault="001C7352" w:rsidP="001C7352">
      <w:pPr>
        <w:rPr>
          <w:rFonts w:eastAsiaTheme="minorEastAsia"/>
          <w:lang w:val="en-GB"/>
        </w:rPr>
      </w:pPr>
      <w:r>
        <w:rPr>
          <w:rFonts w:eastAsiaTheme="minorEastAsia"/>
          <w:lang w:val="en-GB"/>
        </w:rPr>
        <w:t xml:space="preserve">We first have to check whether “always” this multi connection is possible for “all” the intermediate IAB nodes or not. In practical deployment scenario, there is no guarantee that always multiple links are possible to every intermediate IAB nodes. The reason might be spatial restriction or some economic restriction or temporal failure of other link etc for deploying the nodes. Therefore, the basic direction for backhaul link failure handling could be categorized as the single connection and multiple connections cases. </w:t>
      </w:r>
    </w:p>
    <w:p w:rsidR="001C7352" w:rsidRPr="00525C5E" w:rsidRDefault="001C7352" w:rsidP="001C7352">
      <w:pPr>
        <w:rPr>
          <w:rFonts w:eastAsiaTheme="minorEastAsia"/>
          <w:b/>
          <w:i/>
          <w:lang w:val="en-GB"/>
        </w:rPr>
      </w:pPr>
      <w:r w:rsidRPr="00525C5E">
        <w:rPr>
          <w:rFonts w:eastAsiaTheme="minorEastAsia"/>
          <w:b/>
          <w:i/>
          <w:lang w:val="en-GB"/>
        </w:rPr>
        <w:t xml:space="preserve">Observation 1. </w:t>
      </w:r>
      <w:r>
        <w:rPr>
          <w:rFonts w:eastAsiaTheme="minorEastAsia"/>
          <w:b/>
          <w:i/>
          <w:lang w:val="en-GB"/>
        </w:rPr>
        <w:t>Backhaul link failure handling at a</w:t>
      </w:r>
      <w:r w:rsidRPr="00525C5E">
        <w:rPr>
          <w:rFonts w:eastAsiaTheme="minorEastAsia"/>
          <w:b/>
          <w:i/>
          <w:lang w:val="en-GB"/>
        </w:rPr>
        <w:t xml:space="preserve">n Intermediate IAB node </w:t>
      </w:r>
      <w:r>
        <w:rPr>
          <w:rFonts w:eastAsiaTheme="minorEastAsia"/>
          <w:b/>
          <w:i/>
          <w:lang w:val="en-GB"/>
        </w:rPr>
        <w:t>could be considered separately for the single connection case and multiple connection case.</w:t>
      </w:r>
    </w:p>
    <w:p w:rsidR="001C7352" w:rsidRDefault="001C7352" w:rsidP="00E57CEE">
      <w:pPr>
        <w:rPr>
          <w:rFonts w:eastAsiaTheme="minorEastAsia"/>
          <w:lang w:val="en-GB"/>
        </w:rPr>
      </w:pPr>
    </w:p>
    <w:p w:rsidR="00A35EAE" w:rsidRDefault="001C7352" w:rsidP="00E57CEE">
      <w:pPr>
        <w:rPr>
          <w:rFonts w:eastAsiaTheme="minorEastAsia"/>
          <w:lang w:val="en-GB"/>
        </w:rPr>
      </w:pPr>
      <w:r>
        <w:rPr>
          <w:rFonts w:eastAsiaTheme="minorEastAsia"/>
          <w:lang w:val="en-GB"/>
        </w:rPr>
        <w:lastRenderedPageBreak/>
        <w:t>W</w:t>
      </w:r>
      <w:r w:rsidR="00054030">
        <w:rPr>
          <w:rFonts w:eastAsiaTheme="minorEastAsia"/>
          <w:lang w:val="en-GB"/>
        </w:rPr>
        <w:t xml:space="preserve">e first have to restrict the usage of this multiple connections, since there are much freedom on whether these connections are fairly used as the data path without distinction of backup connection, or one dedicated connection is just used for the backup connection. </w:t>
      </w:r>
    </w:p>
    <w:p w:rsidR="005B2FD0" w:rsidRDefault="00054030" w:rsidP="00E57CEE">
      <w:pPr>
        <w:rPr>
          <w:rFonts w:eastAsiaTheme="minorEastAsia"/>
          <w:lang w:val="en-GB"/>
        </w:rPr>
      </w:pPr>
      <w:r>
        <w:rPr>
          <w:rFonts w:eastAsiaTheme="minorEastAsia"/>
          <w:lang w:val="en-GB"/>
        </w:rPr>
        <w:t xml:space="preserve">If we use the both connection as data path at the same time without distinction of dedicated backup connection, </w:t>
      </w:r>
      <w:r w:rsidR="005B2FD0">
        <w:rPr>
          <w:rFonts w:eastAsiaTheme="minorEastAsia"/>
          <w:lang w:val="en-GB"/>
        </w:rPr>
        <w:t xml:space="preserve">we need additional effort to specify how to split the data to each direction, how to route each packet, how to manage the topology due to the possibility of circulation path and so on. Contrary to this, having one data path and one dedicated backup connection can make the problem simple. We only consider the single data path for </w:t>
      </w:r>
      <w:r w:rsidR="00386C79">
        <w:rPr>
          <w:rFonts w:eastAsiaTheme="minorEastAsia"/>
          <w:lang w:val="en-GB"/>
        </w:rPr>
        <w:t xml:space="preserve">normal operation and </w:t>
      </w:r>
      <w:r w:rsidR="005B2FD0">
        <w:rPr>
          <w:rFonts w:eastAsiaTheme="minorEastAsia"/>
          <w:lang w:val="en-GB"/>
        </w:rPr>
        <w:t>topology</w:t>
      </w:r>
      <w:r w:rsidR="00386C79">
        <w:rPr>
          <w:rFonts w:eastAsiaTheme="minorEastAsia"/>
          <w:lang w:val="en-GB"/>
        </w:rPr>
        <w:t xml:space="preserve"> management</w:t>
      </w:r>
      <w:r w:rsidR="005B2FD0">
        <w:rPr>
          <w:rFonts w:eastAsiaTheme="minorEastAsia"/>
          <w:lang w:val="en-GB"/>
        </w:rPr>
        <w:t xml:space="preserve">, and </w:t>
      </w:r>
      <w:r w:rsidR="00386C79">
        <w:rPr>
          <w:rFonts w:eastAsiaTheme="minorEastAsia"/>
          <w:lang w:val="en-GB"/>
        </w:rPr>
        <w:t>backup connection will be operating only this data path has broken. We need to restrict the freedom.</w:t>
      </w:r>
      <w:r w:rsidR="00E6087F">
        <w:rPr>
          <w:rFonts w:eastAsiaTheme="minorEastAsia"/>
          <w:lang w:val="en-GB"/>
        </w:rPr>
        <w:t xml:space="preserve"> Assume that dedicated back path is only used for control signalling to indicate the data path link failure.</w:t>
      </w:r>
    </w:p>
    <w:p w:rsidR="00054030" w:rsidRDefault="005B2FD0"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2</w:t>
      </w:r>
      <w:r w:rsidRPr="00E6087F">
        <w:rPr>
          <w:rFonts w:eastAsiaTheme="minorEastAsia"/>
          <w:b/>
          <w:i/>
          <w:lang w:val="en-GB"/>
        </w:rPr>
        <w:t xml:space="preserve">. </w:t>
      </w:r>
      <w:r w:rsidR="00386C79" w:rsidRPr="00E6087F">
        <w:rPr>
          <w:rFonts w:eastAsiaTheme="minorEastAsia"/>
          <w:b/>
          <w:i/>
          <w:lang w:val="en-GB"/>
        </w:rPr>
        <w:t xml:space="preserve">For simple operation and minimizing the specification effort, using the single data path (connection) and the dedicated backup path (connection) are better than both paths are fairly used. </w:t>
      </w:r>
    </w:p>
    <w:p w:rsidR="00BD2476" w:rsidRDefault="00BD2476" w:rsidP="00E57CEE">
      <w:pPr>
        <w:rPr>
          <w:rFonts w:eastAsiaTheme="minorEastAsia"/>
          <w:lang w:val="en-GB"/>
        </w:rPr>
      </w:pPr>
      <w:r>
        <w:rPr>
          <w:rFonts w:eastAsiaTheme="minorEastAsia"/>
          <w:lang w:val="en-GB"/>
        </w:rPr>
        <w:t xml:space="preserve">Based on above observation2, if intermediate IAB node has two connections, it is easy to split the purpose of the link into the data path and control path for recovery. However, there also could be a single connection to the node in some cases as shown in observation 1. In this case, there is no choice but to have data path and control path on the same single connection. </w:t>
      </w:r>
    </w:p>
    <w:p w:rsidR="00060E7B" w:rsidRPr="00BD2476" w:rsidRDefault="00BD2476" w:rsidP="00E57CEE">
      <w:pPr>
        <w:rPr>
          <w:rFonts w:eastAsiaTheme="minorEastAsia"/>
          <w:lang w:val="en-GB"/>
        </w:rPr>
      </w:pPr>
      <w:r w:rsidRPr="00BD2476">
        <w:rPr>
          <w:rFonts w:eastAsiaTheme="minorEastAsia"/>
          <w:lang w:val="en-GB"/>
        </w:rPr>
        <w:t xml:space="preserve"> </w:t>
      </w:r>
    </w:p>
    <w:p w:rsidR="00BD2476" w:rsidRPr="00BD2476" w:rsidRDefault="00BD2476" w:rsidP="00BD2476">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 RAN2 agrees that there is only one data path at a time in the IAB topology point of view.</w:t>
      </w:r>
    </w:p>
    <w:p w:rsidR="00BD2476" w:rsidRPr="00BD2476" w:rsidRDefault="00BD2476" w:rsidP="00BD2476">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2-1. RAN2 agrees that when two connections are possible, the intermediate IAB node has a single data path (connection) and the dedicated backup path (connection) on each connection with the assumption that dedicated backup path is only used for control signalling to indicate the data path link failure to the IAB donor.</w:t>
      </w:r>
    </w:p>
    <w:p w:rsidR="00A35EAE" w:rsidRPr="00BD2476" w:rsidRDefault="00BD2476" w:rsidP="00BD2476">
      <w:pPr>
        <w:rPr>
          <w:rFonts w:eastAsiaTheme="minorEastAsia"/>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2-2. RAN2 agrees that when only single connection is possible, the intermediate IAB node has a data path and dedicated backup path on that single connection</w:t>
      </w:r>
    </w:p>
    <w:p w:rsidR="00A35EAE" w:rsidRPr="00E57CEE" w:rsidRDefault="00A35EAE" w:rsidP="00A35EAE">
      <w:pPr>
        <w:pStyle w:val="1"/>
      </w:pPr>
      <w:r>
        <w:rPr>
          <w:rFonts w:hint="eastAsia"/>
        </w:rPr>
        <w:t>3</w:t>
      </w:r>
      <w:r w:rsidRPr="00E57CEE">
        <w:rPr>
          <w:rFonts w:hint="eastAsia"/>
        </w:rPr>
        <w:t xml:space="preserve">. </w:t>
      </w:r>
      <w:r w:rsidR="00BD2476">
        <w:t>Procedural point of view on dealing with two/one connection(s)</w:t>
      </w:r>
    </w:p>
    <w:p w:rsidR="003724DF" w:rsidRDefault="00A35EAE" w:rsidP="00E57CEE">
      <w:pPr>
        <w:rPr>
          <w:rFonts w:eastAsiaTheme="minorEastAsia"/>
          <w:lang w:val="en-GB"/>
        </w:rPr>
      </w:pPr>
      <w:r>
        <w:rPr>
          <w:rFonts w:eastAsiaTheme="minorEastAsia"/>
          <w:lang w:val="en-GB"/>
        </w:rPr>
        <w:t xml:space="preserve">As indicated in the introduction part, there could be </w:t>
      </w:r>
      <w:r w:rsidR="001D4CEE">
        <w:rPr>
          <w:rFonts w:eastAsiaTheme="minorEastAsia"/>
          <w:lang w:val="en-GB"/>
        </w:rPr>
        <w:t>two ways of operating 2 connection</w:t>
      </w:r>
      <w:r w:rsidR="003724DF">
        <w:rPr>
          <w:rFonts w:eastAsiaTheme="minorEastAsia"/>
          <w:lang w:val="en-GB"/>
        </w:rPr>
        <w:t>s</w:t>
      </w:r>
      <w:r w:rsidR="001D4CEE">
        <w:rPr>
          <w:rFonts w:eastAsiaTheme="minorEastAsia"/>
          <w:lang w:val="en-GB"/>
        </w:rPr>
        <w:t xml:space="preserve"> in IAB, i.e., using dual connectivity mechanism or using other mechanism to use alternative route. In our understanding, </w:t>
      </w:r>
      <w:r w:rsidR="003724DF">
        <w:rPr>
          <w:rFonts w:eastAsiaTheme="minorEastAsia"/>
          <w:lang w:val="en-GB"/>
        </w:rPr>
        <w:t xml:space="preserve">using </w:t>
      </w:r>
      <w:r w:rsidR="001D4CEE">
        <w:rPr>
          <w:rFonts w:eastAsiaTheme="minorEastAsia"/>
          <w:lang w:val="en-GB"/>
        </w:rPr>
        <w:t xml:space="preserve">dual connectivity mechanism has the merit to minimize the specification effort since already necessary operations are made before as in NSA or MR-DC. </w:t>
      </w:r>
      <w:r w:rsidR="003724DF">
        <w:rPr>
          <w:rFonts w:eastAsiaTheme="minorEastAsia"/>
          <w:lang w:val="en-GB"/>
        </w:rPr>
        <w:t xml:space="preserve">We can just adopt </w:t>
      </w:r>
      <w:r w:rsidR="005112E4">
        <w:rPr>
          <w:rFonts w:eastAsiaTheme="minorEastAsia"/>
          <w:lang w:val="en-GB"/>
        </w:rPr>
        <w:t>those behaviours</w:t>
      </w:r>
      <w:r w:rsidR="003724DF">
        <w:rPr>
          <w:rFonts w:eastAsiaTheme="minorEastAsia"/>
          <w:lang w:val="en-GB"/>
        </w:rPr>
        <w:t>. Otherwise, we need tons of time to discuss and make consensus on this new mechanism.</w:t>
      </w:r>
    </w:p>
    <w:p w:rsidR="003D635E" w:rsidRPr="00E6087F" w:rsidRDefault="003724DF"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3</w:t>
      </w:r>
      <w:r w:rsidRPr="00E6087F">
        <w:rPr>
          <w:rFonts w:eastAsiaTheme="minorEastAsia"/>
          <w:b/>
          <w:i/>
          <w:lang w:val="en-GB"/>
        </w:rPr>
        <w:t>. Using Dual connectivity mechanism for operation of two connections at intermediate IAB node can save the time and effort to make specification.</w:t>
      </w:r>
    </w:p>
    <w:p w:rsidR="00A35EAE" w:rsidRPr="00A35EAE" w:rsidRDefault="003D635E" w:rsidP="00E57CEE">
      <w:pPr>
        <w:rPr>
          <w:rFonts w:eastAsiaTheme="minorEastAsia"/>
          <w:lang w:val="en-GB"/>
        </w:rPr>
      </w:pPr>
      <w:r>
        <w:rPr>
          <w:rFonts w:eastAsiaTheme="minorEastAsia"/>
          <w:lang w:val="en-GB"/>
        </w:rPr>
        <w:t xml:space="preserve">Moreover, IAB WI requires to support for NSA, SA, NR-NR DC. </w:t>
      </w:r>
      <w:r w:rsidR="00017B49">
        <w:rPr>
          <w:rFonts w:eastAsiaTheme="minorEastAsia"/>
          <w:lang w:val="en-GB"/>
        </w:rPr>
        <w:t xml:space="preserve">Therefore it is straightforward to adopt the DC mechanism. However, the scope of DC adoption is currently thought to be for </w:t>
      </w:r>
      <w:r w:rsidR="00774F28">
        <w:rPr>
          <w:rFonts w:eastAsiaTheme="minorEastAsia"/>
          <w:lang w:val="en-GB"/>
        </w:rPr>
        <w:t xml:space="preserve">mainly </w:t>
      </w:r>
      <w:r w:rsidR="00017B49">
        <w:rPr>
          <w:rFonts w:eastAsiaTheme="minorEastAsia"/>
          <w:lang w:val="en-GB"/>
        </w:rPr>
        <w:t>route redundancy</w:t>
      </w:r>
      <w:r w:rsidR="00774F28">
        <w:rPr>
          <w:rFonts w:eastAsiaTheme="minorEastAsia"/>
          <w:lang w:val="en-GB"/>
        </w:rPr>
        <w:t xml:space="preserve"> at least in this paper</w:t>
      </w:r>
      <w:r w:rsidR="00017B49">
        <w:rPr>
          <w:rFonts w:eastAsiaTheme="minorEastAsia"/>
          <w:lang w:val="en-GB"/>
        </w:rPr>
        <w:t>.</w:t>
      </w:r>
      <w:r w:rsidR="003724DF">
        <w:rPr>
          <w:rFonts w:eastAsiaTheme="minorEastAsia"/>
          <w:lang w:val="en-GB"/>
        </w:rPr>
        <w:t xml:space="preserve"> </w:t>
      </w:r>
      <w:r w:rsidR="00774F28">
        <w:rPr>
          <w:rFonts w:eastAsiaTheme="minorEastAsia"/>
          <w:lang w:val="en-GB"/>
        </w:rPr>
        <w:t xml:space="preserve">Further we need to study on the DC impacts to other aspects of IAB operation. </w:t>
      </w:r>
    </w:p>
    <w:p w:rsidR="003724DF" w:rsidRPr="00F769ED" w:rsidRDefault="003724DF" w:rsidP="00E57CEE">
      <w:pPr>
        <w:rPr>
          <w:rFonts w:eastAsiaTheme="minorEastAsia"/>
          <w:b/>
          <w:lang w:val="en-GB"/>
        </w:rPr>
      </w:pPr>
      <w:r w:rsidRPr="00F769ED">
        <w:rPr>
          <w:rFonts w:eastAsiaTheme="minorEastAsia" w:hint="eastAsia"/>
          <w:b/>
          <w:lang w:val="en-GB"/>
        </w:rPr>
        <w:t xml:space="preserve">Proposal 3. RAN2 adopts the dual connectivity mechanism at </w:t>
      </w:r>
      <w:r w:rsidRPr="00F769ED">
        <w:rPr>
          <w:rFonts w:eastAsiaTheme="minorEastAsia"/>
          <w:b/>
          <w:lang w:val="en-GB"/>
        </w:rPr>
        <w:t>recovery at the backhaul link failure</w:t>
      </w:r>
      <w:r w:rsidR="005112E4" w:rsidRPr="00F769ED">
        <w:rPr>
          <w:rFonts w:eastAsiaTheme="minorEastAsia"/>
          <w:b/>
          <w:lang w:val="en-GB"/>
        </w:rPr>
        <w:t xml:space="preserve"> when the intermediate IAB node has two connections.</w:t>
      </w:r>
    </w:p>
    <w:p w:rsidR="00F769ED" w:rsidRDefault="00F769ED" w:rsidP="00E57CEE">
      <w:pPr>
        <w:rPr>
          <w:rFonts w:eastAsiaTheme="minorEastAsia"/>
          <w:lang w:val="en-GB"/>
        </w:rPr>
      </w:pPr>
    </w:p>
    <w:p w:rsidR="00F769ED" w:rsidRDefault="00F769ED" w:rsidP="00E57CEE">
      <w:pPr>
        <w:rPr>
          <w:rFonts w:eastAsiaTheme="minorEastAsia"/>
          <w:lang w:val="en-GB"/>
        </w:rPr>
      </w:pPr>
      <w:r>
        <w:rPr>
          <w:rFonts w:eastAsiaTheme="minorEastAsia"/>
          <w:lang w:val="en-GB"/>
        </w:rPr>
        <w:t xml:space="preserve">Since currently there is only SCGFailure handling procedure not MCGFailure, the SCG connection is regarded as the main data path whereas the MCG connection is regarded as the dedicated backup path for handling backhaul </w:t>
      </w:r>
      <w:r>
        <w:rPr>
          <w:rFonts w:eastAsiaTheme="minorEastAsia"/>
          <w:lang w:val="en-GB"/>
        </w:rPr>
        <w:lastRenderedPageBreak/>
        <w:t xml:space="preserve">link failure. This is easily realized by the network implementation in current DC mechanism. Moreover, using SCG link as the main data path is well matched to the various DC version. For the main data path, NR with FR2 is considered and NSA, NR-NR DC can have NR with FR2 on its SCG part. </w:t>
      </w:r>
    </w:p>
    <w:p w:rsidR="00F769ED" w:rsidRDefault="00F769ED" w:rsidP="00E57CEE">
      <w:pPr>
        <w:rPr>
          <w:rFonts w:eastAsiaTheme="minorEastAsia"/>
          <w:b/>
          <w:i/>
          <w:lang w:val="en-GB"/>
        </w:rPr>
      </w:pPr>
      <w:r w:rsidRPr="00E6087F">
        <w:rPr>
          <w:rFonts w:eastAsiaTheme="minorEastAsia"/>
          <w:b/>
          <w:i/>
          <w:lang w:val="en-GB"/>
        </w:rPr>
        <w:t xml:space="preserve">Observation </w:t>
      </w:r>
      <w:r w:rsidR="001C7352">
        <w:rPr>
          <w:rFonts w:eastAsiaTheme="minorEastAsia"/>
          <w:b/>
          <w:i/>
          <w:lang w:val="en-GB"/>
        </w:rPr>
        <w:t>4</w:t>
      </w:r>
      <w:r w:rsidRPr="00E6087F">
        <w:rPr>
          <w:rFonts w:eastAsiaTheme="minorEastAsia"/>
          <w:b/>
          <w:i/>
          <w:lang w:val="en-GB"/>
        </w:rPr>
        <w:t xml:space="preserve">. Using SCG link as the main data path and MCG link as the dedicated backup </w:t>
      </w:r>
      <w:r w:rsidR="00E6087F">
        <w:rPr>
          <w:rFonts w:eastAsiaTheme="minorEastAsia"/>
          <w:b/>
          <w:i/>
          <w:lang w:val="en-GB"/>
        </w:rPr>
        <w:t>path has no problem on DC operation.</w:t>
      </w:r>
    </w:p>
    <w:p w:rsidR="00E6087F" w:rsidRPr="00E6087F" w:rsidRDefault="00E6087F" w:rsidP="00E57CEE">
      <w:pPr>
        <w:rPr>
          <w:rFonts w:eastAsiaTheme="minorEastAsia"/>
          <w:b/>
          <w:i/>
          <w:lang w:val="en-GB"/>
        </w:rPr>
      </w:pPr>
      <w:r>
        <w:rPr>
          <w:rFonts w:eastAsiaTheme="minorEastAsia"/>
          <w:b/>
          <w:i/>
          <w:lang w:val="en-GB"/>
        </w:rPr>
        <w:t xml:space="preserve">Observation </w:t>
      </w:r>
      <w:r w:rsidR="001C7352">
        <w:rPr>
          <w:rFonts w:eastAsiaTheme="minorEastAsia"/>
          <w:b/>
          <w:i/>
          <w:lang w:val="en-GB"/>
        </w:rPr>
        <w:t>5</w:t>
      </w:r>
      <w:r>
        <w:rPr>
          <w:rFonts w:eastAsiaTheme="minorEastAsia"/>
          <w:b/>
          <w:i/>
          <w:lang w:val="en-GB"/>
        </w:rPr>
        <w:t xml:space="preserve">. Using SCG link as the main data path and MCG link as the dedicated backup path is well matched with various version of DC in terms of data path on NR FR2. </w:t>
      </w:r>
    </w:p>
    <w:p w:rsidR="005112E4" w:rsidRDefault="005112E4" w:rsidP="00E57CEE">
      <w:pPr>
        <w:rPr>
          <w:rFonts w:eastAsiaTheme="minorEastAsia"/>
          <w:lang w:val="en-GB"/>
        </w:rPr>
      </w:pPr>
    </w:p>
    <w:p w:rsidR="00E6087F" w:rsidRDefault="00E6087F" w:rsidP="00E57CEE">
      <w:pPr>
        <w:rPr>
          <w:rFonts w:eastAsiaTheme="minorEastAsia"/>
          <w:b/>
          <w:lang w:val="en-GB"/>
        </w:rPr>
      </w:pPr>
      <w:r w:rsidRPr="00E6087F">
        <w:rPr>
          <w:rFonts w:eastAsiaTheme="minorEastAsia" w:hint="eastAsia"/>
          <w:b/>
          <w:lang w:val="en-GB"/>
        </w:rPr>
        <w:t>Proposal 4. RAN2 adopts that using SCG link as the main data path and MCG link as the dedicated backup path for the backhaul link failure handling.</w:t>
      </w:r>
    </w:p>
    <w:p w:rsidR="003421EF" w:rsidRDefault="003421EF" w:rsidP="00E57CEE">
      <w:pPr>
        <w:rPr>
          <w:rFonts w:eastAsiaTheme="minorEastAsia"/>
          <w:b/>
          <w:lang w:val="en-GB"/>
        </w:rPr>
      </w:pPr>
    </w:p>
    <w:p w:rsidR="003421EF" w:rsidRDefault="003421EF" w:rsidP="003421EF">
      <w:pPr>
        <w:pStyle w:val="1"/>
      </w:pPr>
      <w:r>
        <w:rPr>
          <w:rFonts w:hint="eastAsia"/>
        </w:rPr>
        <w:t xml:space="preserve">4. Conclusions </w:t>
      </w:r>
    </w:p>
    <w:p w:rsidR="003421EF" w:rsidRDefault="003421EF" w:rsidP="003421EF">
      <w:pPr>
        <w:rPr>
          <w:lang w:val="en-GB" w:eastAsia="en-US"/>
        </w:rPr>
      </w:pPr>
    </w:p>
    <w:p w:rsidR="003421EF" w:rsidRDefault="003421EF" w:rsidP="003421EF">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the above discussions, we have the following proposals:</w:t>
      </w:r>
    </w:p>
    <w:p w:rsidR="003421EF" w:rsidRPr="00F769ED" w:rsidRDefault="003421EF" w:rsidP="003421EF">
      <w:pPr>
        <w:rPr>
          <w:rFonts w:eastAsiaTheme="minorEastAsia"/>
          <w:b/>
          <w:lang w:val="en-GB"/>
        </w:rPr>
      </w:pPr>
      <w:r>
        <w:rPr>
          <w:rFonts w:eastAsiaTheme="minorEastAsia" w:hint="eastAsia"/>
          <w:b/>
          <w:lang w:val="en-GB"/>
        </w:rPr>
        <w:t>Proposal 1. RAN2 agrees</w:t>
      </w:r>
      <w:r w:rsidRPr="00F769ED">
        <w:rPr>
          <w:rFonts w:eastAsiaTheme="minorEastAsia" w:hint="eastAsia"/>
          <w:b/>
          <w:lang w:val="en-GB"/>
        </w:rPr>
        <w:t xml:space="preserve"> that an intermediate IAB node can have the </w:t>
      </w:r>
      <w:r w:rsidRPr="00F769ED">
        <w:rPr>
          <w:rFonts w:eastAsiaTheme="minorEastAsia"/>
          <w:b/>
          <w:lang w:val="en-GB"/>
        </w:rPr>
        <w:t xml:space="preserve">maximum two connections with distinctive </w:t>
      </w:r>
      <w:r>
        <w:rPr>
          <w:rFonts w:eastAsiaTheme="minorEastAsia"/>
          <w:b/>
          <w:lang w:val="en-GB"/>
        </w:rPr>
        <w:t xml:space="preserve">two nodes </w:t>
      </w:r>
      <w:r w:rsidRPr="00F769ED">
        <w:rPr>
          <w:rFonts w:eastAsiaTheme="minorEastAsia"/>
          <w:b/>
          <w:lang w:val="en-GB"/>
        </w:rPr>
        <w:t xml:space="preserve">for </w:t>
      </w:r>
      <w:r>
        <w:rPr>
          <w:rFonts w:eastAsiaTheme="minorEastAsia"/>
          <w:b/>
          <w:lang w:val="en-GB"/>
        </w:rPr>
        <w:t>backhauling</w:t>
      </w:r>
      <w:r w:rsidRPr="00F769ED">
        <w:rPr>
          <w:rFonts w:eastAsiaTheme="minorEastAsia"/>
          <w:b/>
          <w:lang w:val="en-GB"/>
        </w:rPr>
        <w:t>.</w:t>
      </w:r>
    </w:p>
    <w:p w:rsidR="003421EF" w:rsidRPr="00BD2476" w:rsidRDefault="003421EF" w:rsidP="003421EF">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 RAN2 agrees that there is only one data path at a time in the IAB topology point of view.</w:t>
      </w:r>
    </w:p>
    <w:p w:rsidR="003421EF" w:rsidRPr="00BD2476" w:rsidRDefault="003421EF" w:rsidP="003421EF">
      <w:pPr>
        <w:rPr>
          <w:rFonts w:eastAsiaTheme="minorEastAsia"/>
          <w:b/>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2-1. RAN2 agrees that when two connections are possible, the intermediate IAB node has a single data path (connection) and the dedicated backup path (connection) on each connection with the assumption that dedicated backup path is only used for control signalling to indicate the data path link failure to the IAB donor.</w:t>
      </w:r>
    </w:p>
    <w:p w:rsidR="003421EF" w:rsidRPr="00BD2476" w:rsidRDefault="003421EF" w:rsidP="003421EF">
      <w:pPr>
        <w:rPr>
          <w:rFonts w:eastAsiaTheme="minorEastAsia"/>
          <w:lang w:val="en-GB"/>
        </w:rPr>
      </w:pPr>
      <w:r w:rsidRPr="00BD2476">
        <w:rPr>
          <w:rFonts w:eastAsiaTheme="minorEastAsia"/>
          <w:b/>
          <w:lang w:val="en-GB"/>
        </w:rPr>
        <w:t>P</w:t>
      </w:r>
      <w:r>
        <w:rPr>
          <w:rFonts w:eastAsiaTheme="minorEastAsia"/>
          <w:b/>
          <w:lang w:val="en-GB"/>
        </w:rPr>
        <w:t xml:space="preserve">roposal </w:t>
      </w:r>
      <w:r w:rsidRPr="00BD2476">
        <w:rPr>
          <w:rFonts w:eastAsiaTheme="minorEastAsia"/>
          <w:b/>
          <w:lang w:val="en-GB"/>
        </w:rPr>
        <w:t>2-2. RAN2 agrees that when only single connection is possible, the intermediate IAB node has a data path and dedicated backup path on that single connection</w:t>
      </w:r>
    </w:p>
    <w:p w:rsidR="003421EF" w:rsidRPr="00F769ED" w:rsidRDefault="003421EF" w:rsidP="003421EF">
      <w:pPr>
        <w:rPr>
          <w:rFonts w:eastAsiaTheme="minorEastAsia"/>
          <w:b/>
          <w:lang w:val="en-GB"/>
        </w:rPr>
      </w:pPr>
      <w:r w:rsidRPr="00F769ED">
        <w:rPr>
          <w:rFonts w:eastAsiaTheme="minorEastAsia" w:hint="eastAsia"/>
          <w:b/>
          <w:lang w:val="en-GB"/>
        </w:rPr>
        <w:t xml:space="preserve">Proposal 3. RAN2 adopts the dual connectivity mechanism at </w:t>
      </w:r>
      <w:r w:rsidRPr="00F769ED">
        <w:rPr>
          <w:rFonts w:eastAsiaTheme="minorEastAsia"/>
          <w:b/>
          <w:lang w:val="en-GB"/>
        </w:rPr>
        <w:t>recovery at the backhaul link failure when the intermediate IAB node has two connections.</w:t>
      </w:r>
    </w:p>
    <w:p w:rsidR="003421EF" w:rsidRDefault="003421EF" w:rsidP="003421EF">
      <w:pPr>
        <w:rPr>
          <w:rFonts w:eastAsiaTheme="minorEastAsia"/>
          <w:b/>
          <w:lang w:val="en-GB"/>
        </w:rPr>
      </w:pPr>
      <w:r w:rsidRPr="00E6087F">
        <w:rPr>
          <w:rFonts w:eastAsiaTheme="minorEastAsia" w:hint="eastAsia"/>
          <w:b/>
          <w:lang w:val="en-GB"/>
        </w:rPr>
        <w:t>Proposal 4. RAN2 adopts that using SCG link as the main data path and MCG link as the dedicated backup path for the backhaul link failure handling.</w:t>
      </w:r>
    </w:p>
    <w:p w:rsidR="003421EF" w:rsidRPr="003421EF" w:rsidRDefault="003421EF" w:rsidP="003421EF">
      <w:pPr>
        <w:rPr>
          <w:rFonts w:eastAsiaTheme="minorEastAsia"/>
          <w:lang w:val="en-GB"/>
        </w:rPr>
      </w:pPr>
    </w:p>
    <w:sectPr w:rsidR="003421EF" w:rsidRPr="003421E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994" w:rsidRDefault="00B36994" w:rsidP="00180FBC">
      <w:pPr>
        <w:spacing w:after="0" w:line="240" w:lineRule="auto"/>
      </w:pPr>
      <w:r>
        <w:separator/>
      </w:r>
    </w:p>
  </w:endnote>
  <w:endnote w:type="continuationSeparator" w:id="0">
    <w:p w:rsidR="00B36994" w:rsidRDefault="00B36994" w:rsidP="00180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994" w:rsidRDefault="00B36994" w:rsidP="00180FBC">
      <w:pPr>
        <w:spacing w:after="0" w:line="240" w:lineRule="auto"/>
      </w:pPr>
      <w:r>
        <w:separator/>
      </w:r>
    </w:p>
  </w:footnote>
  <w:footnote w:type="continuationSeparator" w:id="0">
    <w:p w:rsidR="00B36994" w:rsidRDefault="00B36994" w:rsidP="00180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BF"/>
    <w:rsid w:val="00017B49"/>
    <w:rsid w:val="00033F41"/>
    <w:rsid w:val="00046839"/>
    <w:rsid w:val="00054030"/>
    <w:rsid w:val="00060E7B"/>
    <w:rsid w:val="000B0ABD"/>
    <w:rsid w:val="00180FBC"/>
    <w:rsid w:val="001C7352"/>
    <w:rsid w:val="001D4CEE"/>
    <w:rsid w:val="0029325D"/>
    <w:rsid w:val="003421EF"/>
    <w:rsid w:val="003724DF"/>
    <w:rsid w:val="0038615A"/>
    <w:rsid w:val="00386C79"/>
    <w:rsid w:val="003D635E"/>
    <w:rsid w:val="004372F9"/>
    <w:rsid w:val="004472EC"/>
    <w:rsid w:val="004F2194"/>
    <w:rsid w:val="005112E4"/>
    <w:rsid w:val="00561919"/>
    <w:rsid w:val="005B2FD0"/>
    <w:rsid w:val="00774F28"/>
    <w:rsid w:val="00846938"/>
    <w:rsid w:val="00865A8B"/>
    <w:rsid w:val="008D7364"/>
    <w:rsid w:val="00940F74"/>
    <w:rsid w:val="009A64B1"/>
    <w:rsid w:val="00A35EAE"/>
    <w:rsid w:val="00A65FA8"/>
    <w:rsid w:val="00A801BF"/>
    <w:rsid w:val="00A9291A"/>
    <w:rsid w:val="00AA70D8"/>
    <w:rsid w:val="00AF2A46"/>
    <w:rsid w:val="00B1616B"/>
    <w:rsid w:val="00B2509C"/>
    <w:rsid w:val="00B36994"/>
    <w:rsid w:val="00B75F21"/>
    <w:rsid w:val="00B777BB"/>
    <w:rsid w:val="00BB6DB2"/>
    <w:rsid w:val="00BD2476"/>
    <w:rsid w:val="00C075E9"/>
    <w:rsid w:val="00C61031"/>
    <w:rsid w:val="00CA402A"/>
    <w:rsid w:val="00D5117B"/>
    <w:rsid w:val="00E57CEE"/>
    <w:rsid w:val="00E6087F"/>
    <w:rsid w:val="00EC6BD2"/>
    <w:rsid w:val="00F769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A74EF0-C062-4545-9942-F14AF9400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046839"/>
    <w:pPr>
      <w:widowControl w:val="0"/>
      <w:wordWrap w:val="0"/>
      <w:autoSpaceDE w:val="0"/>
      <w:autoSpaceDN w:val="0"/>
    </w:pPr>
    <w:rPr>
      <w:rFonts w:ascii="Calibri" w:eastAsia="Calibri" w:hAnsi="Calibri"/>
    </w:rPr>
  </w:style>
  <w:style w:type="paragraph" w:styleId="1">
    <w:name w:val="heading 1"/>
    <w:basedOn w:val="a0"/>
    <w:next w:val="a"/>
    <w:link w:val="1Char"/>
    <w:qFormat/>
    <w:rsid w:val="00A801BF"/>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A801BF"/>
    <w:rPr>
      <w:rFonts w:ascii="Arial" w:eastAsia="Arial" w:hAnsi="Arial" w:cs="Times New Roman"/>
      <w:kern w:val="0"/>
      <w:sz w:val="36"/>
      <w:szCs w:val="20"/>
      <w:lang w:val="en-GB" w:eastAsia="en-US"/>
    </w:rPr>
  </w:style>
  <w:style w:type="paragraph" w:styleId="a0">
    <w:name w:val="header"/>
    <w:basedOn w:val="a"/>
    <w:link w:val="Char"/>
    <w:uiPriority w:val="99"/>
    <w:unhideWhenUsed/>
    <w:rsid w:val="00A801BF"/>
    <w:pPr>
      <w:tabs>
        <w:tab w:val="center" w:pos="4513"/>
        <w:tab w:val="right" w:pos="9026"/>
      </w:tabs>
      <w:snapToGrid w:val="0"/>
    </w:pPr>
  </w:style>
  <w:style w:type="character" w:customStyle="1" w:styleId="Char">
    <w:name w:val="머리글 Char"/>
    <w:basedOn w:val="a1"/>
    <w:link w:val="a0"/>
    <w:uiPriority w:val="99"/>
    <w:rsid w:val="00A801BF"/>
    <w:rPr>
      <w:rFonts w:ascii="Calibri" w:eastAsia="Calibri" w:hAnsi="Calibri"/>
    </w:rPr>
  </w:style>
  <w:style w:type="paragraph" w:customStyle="1" w:styleId="Agreement">
    <w:name w:val="Agreement"/>
    <w:basedOn w:val="a"/>
    <w:next w:val="a"/>
    <w:rsid w:val="00A801BF"/>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styleId="a4">
    <w:name w:val="footer"/>
    <w:basedOn w:val="a"/>
    <w:link w:val="Char0"/>
    <w:uiPriority w:val="99"/>
    <w:unhideWhenUsed/>
    <w:rsid w:val="00180FBC"/>
    <w:pPr>
      <w:tabs>
        <w:tab w:val="center" w:pos="4513"/>
        <w:tab w:val="right" w:pos="9026"/>
      </w:tabs>
      <w:snapToGrid w:val="0"/>
    </w:pPr>
  </w:style>
  <w:style w:type="character" w:customStyle="1" w:styleId="Char0">
    <w:name w:val="바닥글 Char"/>
    <w:basedOn w:val="a1"/>
    <w:link w:val="a4"/>
    <w:uiPriority w:val="99"/>
    <w:rsid w:val="00180FBC"/>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02502">
      <w:bodyDiv w:val="1"/>
      <w:marLeft w:val="0"/>
      <w:marRight w:val="0"/>
      <w:marTop w:val="0"/>
      <w:marBottom w:val="0"/>
      <w:divBdr>
        <w:top w:val="none" w:sz="0" w:space="0" w:color="auto"/>
        <w:left w:val="none" w:sz="0" w:space="0" w:color="auto"/>
        <w:bottom w:val="none" w:sz="0" w:space="0" w:color="auto"/>
        <w:right w:val="none" w:sz="0" w:space="0" w:color="auto"/>
      </w:divBdr>
      <w:divsChild>
        <w:div w:id="1081099116">
          <w:marLeft w:val="0"/>
          <w:marRight w:val="0"/>
          <w:marTop w:val="0"/>
          <w:marBottom w:val="0"/>
          <w:divBdr>
            <w:top w:val="none" w:sz="0" w:space="0" w:color="auto"/>
            <w:left w:val="none" w:sz="0" w:space="0" w:color="auto"/>
            <w:bottom w:val="none" w:sz="0" w:space="0" w:color="auto"/>
            <w:right w:val="none" w:sz="0" w:space="0" w:color="auto"/>
          </w:divBdr>
          <w:divsChild>
            <w:div w:id="1536113049">
              <w:marLeft w:val="0"/>
              <w:marRight w:val="0"/>
              <w:marTop w:val="0"/>
              <w:marBottom w:val="0"/>
              <w:divBdr>
                <w:top w:val="none" w:sz="0" w:space="0" w:color="auto"/>
                <w:left w:val="none" w:sz="0" w:space="0" w:color="auto"/>
                <w:bottom w:val="none" w:sz="0" w:space="0" w:color="auto"/>
                <w:right w:val="none" w:sz="0" w:space="0" w:color="auto"/>
              </w:divBdr>
              <w:divsChild>
                <w:div w:id="2005745951">
                  <w:marLeft w:val="0"/>
                  <w:marRight w:val="0"/>
                  <w:marTop w:val="0"/>
                  <w:marBottom w:val="0"/>
                  <w:divBdr>
                    <w:top w:val="none" w:sz="0" w:space="0" w:color="auto"/>
                    <w:left w:val="none" w:sz="0" w:space="0" w:color="auto"/>
                    <w:bottom w:val="none" w:sz="0" w:space="0" w:color="auto"/>
                    <w:right w:val="none" w:sz="0" w:space="0" w:color="auto"/>
                  </w:divBdr>
                  <w:divsChild>
                    <w:div w:id="1890074665">
                      <w:marLeft w:val="0"/>
                      <w:marRight w:val="0"/>
                      <w:marTop w:val="0"/>
                      <w:marBottom w:val="0"/>
                      <w:divBdr>
                        <w:top w:val="none" w:sz="0" w:space="0" w:color="auto"/>
                        <w:left w:val="none" w:sz="0" w:space="0" w:color="auto"/>
                        <w:bottom w:val="none" w:sz="0" w:space="0" w:color="auto"/>
                        <w:right w:val="none" w:sz="0" w:space="0" w:color="auto"/>
                      </w:divBdr>
                      <w:divsChild>
                        <w:div w:id="379285805">
                          <w:marLeft w:val="0"/>
                          <w:marRight w:val="0"/>
                          <w:marTop w:val="0"/>
                          <w:marBottom w:val="0"/>
                          <w:divBdr>
                            <w:top w:val="none" w:sz="0" w:space="0" w:color="auto"/>
                            <w:left w:val="none" w:sz="0" w:space="0" w:color="auto"/>
                            <w:bottom w:val="none" w:sz="0" w:space="0" w:color="auto"/>
                            <w:right w:val="none" w:sz="0" w:space="0" w:color="auto"/>
                          </w:divBdr>
                          <w:divsChild>
                            <w:div w:id="385488614">
                              <w:marLeft w:val="0"/>
                              <w:marRight w:val="0"/>
                              <w:marTop w:val="0"/>
                              <w:marBottom w:val="0"/>
                              <w:divBdr>
                                <w:top w:val="none" w:sz="0" w:space="0" w:color="auto"/>
                                <w:left w:val="none" w:sz="0" w:space="0" w:color="auto"/>
                                <w:bottom w:val="none" w:sz="0" w:space="0" w:color="auto"/>
                                <w:right w:val="none" w:sz="0" w:space="0" w:color="auto"/>
                              </w:divBdr>
                              <w:divsChild>
                                <w:div w:id="1754626057">
                                  <w:marLeft w:val="0"/>
                                  <w:marRight w:val="0"/>
                                  <w:marTop w:val="0"/>
                                  <w:marBottom w:val="0"/>
                                  <w:divBdr>
                                    <w:top w:val="none" w:sz="0" w:space="0" w:color="auto"/>
                                    <w:left w:val="none" w:sz="0" w:space="0" w:color="auto"/>
                                    <w:bottom w:val="none" w:sz="0" w:space="0" w:color="auto"/>
                                    <w:right w:val="none" w:sz="0" w:space="0" w:color="auto"/>
                                  </w:divBdr>
                                  <w:divsChild>
                                    <w:div w:id="956520737">
                                      <w:marLeft w:val="0"/>
                                      <w:marRight w:val="0"/>
                                      <w:marTop w:val="0"/>
                                      <w:marBottom w:val="0"/>
                                      <w:divBdr>
                                        <w:top w:val="none" w:sz="0" w:space="0" w:color="auto"/>
                                        <w:left w:val="none" w:sz="0" w:space="0" w:color="auto"/>
                                        <w:bottom w:val="none" w:sz="0" w:space="0" w:color="auto"/>
                                        <w:right w:val="none" w:sz="0" w:space="0" w:color="auto"/>
                                      </w:divBdr>
                                      <w:divsChild>
                                        <w:div w:id="710570023">
                                          <w:marLeft w:val="0"/>
                                          <w:marRight w:val="0"/>
                                          <w:marTop w:val="0"/>
                                          <w:marBottom w:val="0"/>
                                          <w:divBdr>
                                            <w:top w:val="none" w:sz="0" w:space="0" w:color="auto"/>
                                            <w:left w:val="none" w:sz="0" w:space="0" w:color="auto"/>
                                            <w:bottom w:val="none" w:sz="0" w:space="0" w:color="auto"/>
                                            <w:right w:val="none" w:sz="0" w:space="0" w:color="auto"/>
                                          </w:divBdr>
                                          <w:divsChild>
                                            <w:div w:id="1690638636">
                                              <w:marLeft w:val="330"/>
                                              <w:marRight w:val="225"/>
                                              <w:marTop w:val="300"/>
                                              <w:marBottom w:val="450"/>
                                              <w:divBdr>
                                                <w:top w:val="none" w:sz="0" w:space="0" w:color="auto"/>
                                                <w:left w:val="none" w:sz="0" w:space="0" w:color="auto"/>
                                                <w:bottom w:val="none" w:sz="0" w:space="0" w:color="auto"/>
                                                <w:right w:val="none" w:sz="0" w:space="0" w:color="auto"/>
                                              </w:divBdr>
                                              <w:divsChild>
                                                <w:div w:id="899249556">
                                                  <w:marLeft w:val="0"/>
                                                  <w:marRight w:val="0"/>
                                                  <w:marTop w:val="0"/>
                                                  <w:marBottom w:val="0"/>
                                                  <w:divBdr>
                                                    <w:top w:val="none" w:sz="0" w:space="0" w:color="auto"/>
                                                    <w:left w:val="none" w:sz="0" w:space="0" w:color="auto"/>
                                                    <w:bottom w:val="none" w:sz="0" w:space="0" w:color="auto"/>
                                                    <w:right w:val="none" w:sz="0" w:space="0" w:color="auto"/>
                                                  </w:divBdr>
                                                  <w:divsChild>
                                                    <w:div w:id="19708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127488">
      <w:bodyDiv w:val="1"/>
      <w:marLeft w:val="0"/>
      <w:marRight w:val="0"/>
      <w:marTop w:val="0"/>
      <w:marBottom w:val="0"/>
      <w:divBdr>
        <w:top w:val="none" w:sz="0" w:space="0" w:color="auto"/>
        <w:left w:val="none" w:sz="0" w:space="0" w:color="auto"/>
        <w:bottom w:val="none" w:sz="0" w:space="0" w:color="auto"/>
        <w:right w:val="none" w:sz="0" w:space="0" w:color="auto"/>
      </w:divBdr>
    </w:div>
    <w:div w:id="600407781">
      <w:bodyDiv w:val="1"/>
      <w:marLeft w:val="0"/>
      <w:marRight w:val="0"/>
      <w:marTop w:val="0"/>
      <w:marBottom w:val="0"/>
      <w:divBdr>
        <w:top w:val="none" w:sz="0" w:space="0" w:color="auto"/>
        <w:left w:val="none" w:sz="0" w:space="0" w:color="auto"/>
        <w:bottom w:val="none" w:sz="0" w:space="0" w:color="auto"/>
        <w:right w:val="none" w:sz="0" w:space="0" w:color="auto"/>
      </w:divBdr>
    </w:div>
    <w:div w:id="853113145">
      <w:bodyDiv w:val="1"/>
      <w:marLeft w:val="0"/>
      <w:marRight w:val="0"/>
      <w:marTop w:val="0"/>
      <w:marBottom w:val="0"/>
      <w:divBdr>
        <w:top w:val="none" w:sz="0" w:space="0" w:color="auto"/>
        <w:left w:val="none" w:sz="0" w:space="0" w:color="auto"/>
        <w:bottom w:val="none" w:sz="0" w:space="0" w:color="auto"/>
        <w:right w:val="none" w:sz="0" w:space="0" w:color="auto"/>
      </w:divBdr>
    </w:div>
    <w:div w:id="107119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1175</Words>
  <Characters>6704</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3</cp:revision>
  <dcterms:created xsi:type="dcterms:W3CDTF">2019-05-02T13:37:00Z</dcterms:created>
  <dcterms:modified xsi:type="dcterms:W3CDTF">2019-05-03T06:25:00Z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emails\R2-xxxxxxx Introduction of DC for IAB failure .docx</vt:lpwstr>
  </property>
</Properties>
</file>